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4310" w:type="dxa"/>
        <w:tblInd w:w="2" w:type="dxa"/>
        <w:tblCellMar>
          <w:top w:w="12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524"/>
        <w:gridCol w:w="2948"/>
        <w:gridCol w:w="2946"/>
        <w:gridCol w:w="2947"/>
        <w:gridCol w:w="2945"/>
      </w:tblGrid>
      <w:tr w:rsidR="001F0394" w:rsidRPr="00777F75" w14:paraId="5F154D68" w14:textId="77777777" w:rsidTr="00CF6547">
        <w:trPr>
          <w:trHeight w:val="288"/>
        </w:trPr>
        <w:tc>
          <w:tcPr>
            <w:tcW w:w="2524" w:type="dxa"/>
            <w:vMerge w:val="restart"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  <w:vAlign w:val="center"/>
          </w:tcPr>
          <w:p w14:paraId="24254842" w14:textId="77777777" w:rsidR="001F0394" w:rsidRPr="00777F75" w:rsidRDefault="001F0394">
            <w:pPr>
              <w:spacing w:after="287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sz w:val="18"/>
              </w:rPr>
              <w:t xml:space="preserve"> </w:t>
            </w:r>
          </w:p>
          <w:p w14:paraId="4551CA3E" w14:textId="77777777" w:rsidR="001F0394" w:rsidRPr="00777F75" w:rsidRDefault="001F0394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color w:val="FFFFFF"/>
                <w:sz w:val="18"/>
              </w:rPr>
              <w:t xml:space="preserve"> </w:t>
            </w:r>
          </w:p>
        </w:tc>
        <w:tc>
          <w:tcPr>
            <w:tcW w:w="11786" w:type="dxa"/>
            <w:gridSpan w:val="4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21498E"/>
            <w:vAlign w:val="center"/>
          </w:tcPr>
          <w:p w14:paraId="25E1B624" w14:textId="3DBA01E7" w:rsidR="001F0394" w:rsidRPr="00777F75" w:rsidRDefault="001F0394" w:rsidP="001F039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8"/>
                <w:szCs w:val="28"/>
              </w:rPr>
              <w:t>General comparison</w:t>
            </w:r>
          </w:p>
        </w:tc>
      </w:tr>
      <w:tr w:rsidR="006A38CF" w:rsidRPr="00777F75" w14:paraId="582A2385" w14:textId="77777777" w:rsidTr="00BE138B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</w:tcPr>
          <w:p w14:paraId="4F476FD0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2060"/>
            <w:vAlign w:val="center"/>
          </w:tcPr>
          <w:p w14:paraId="02996106" w14:textId="77777777" w:rsidR="006A38CF" w:rsidRPr="00777F75" w:rsidRDefault="00F949C8">
            <w:pPr>
              <w:ind w:right="38"/>
              <w:jc w:val="center"/>
              <w:rPr>
                <w:rFonts w:asciiTheme="minorHAnsi" w:hAnsiTheme="minorHAnsi" w:cstheme="minorHAnsi"/>
                <w:bCs/>
                <w:color w:val="F2F2F2" w:themeColor="background1" w:themeShade="F2"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2F2F2" w:themeColor="background1" w:themeShade="F2"/>
                <w:sz w:val="24"/>
                <w:szCs w:val="24"/>
              </w:rPr>
              <w:t xml:space="preserve">CSP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7D31" w:themeFill="accent2"/>
            <w:vAlign w:val="center"/>
          </w:tcPr>
          <w:p w14:paraId="512BCA37" w14:textId="77777777" w:rsidR="006A38CF" w:rsidRPr="00777F75" w:rsidRDefault="00F949C8">
            <w:pPr>
              <w:ind w:right="40"/>
              <w:jc w:val="center"/>
              <w:rPr>
                <w:rFonts w:asciiTheme="minorHAnsi" w:hAnsiTheme="minorHAnsi" w:cstheme="minorHAnsi"/>
                <w:bCs/>
                <w:color w:val="F2F2F2" w:themeColor="background1" w:themeShade="F2"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2F2F2" w:themeColor="background1" w:themeShade="F2"/>
                <w:sz w:val="24"/>
                <w:szCs w:val="24"/>
              </w:rPr>
              <w:t xml:space="preserve">Open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50"/>
            <w:vAlign w:val="center"/>
          </w:tcPr>
          <w:p w14:paraId="17F9922D" w14:textId="77777777" w:rsidR="006A38CF" w:rsidRPr="00777F75" w:rsidRDefault="00F949C8">
            <w:pPr>
              <w:ind w:right="37"/>
              <w:jc w:val="center"/>
              <w:rPr>
                <w:rFonts w:asciiTheme="minorHAnsi" w:hAnsiTheme="minorHAnsi" w:cstheme="minorHAnsi"/>
                <w:bCs/>
                <w:color w:val="F2F2F2" w:themeColor="background1" w:themeShade="F2"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2F2F2" w:themeColor="background1" w:themeShade="F2"/>
                <w:sz w:val="24"/>
                <w:szCs w:val="24"/>
              </w:rPr>
              <w:t xml:space="preserve">Open Value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F0"/>
            <w:vAlign w:val="center"/>
          </w:tcPr>
          <w:p w14:paraId="5C698BEE" w14:textId="77777777" w:rsidR="006A38CF" w:rsidRPr="00777F75" w:rsidRDefault="00F949C8">
            <w:pPr>
              <w:ind w:right="39"/>
              <w:jc w:val="center"/>
              <w:rPr>
                <w:rFonts w:asciiTheme="minorHAnsi" w:hAnsiTheme="minorHAnsi" w:cstheme="minorHAnsi"/>
                <w:bCs/>
                <w:color w:val="F2F2F2" w:themeColor="background1" w:themeShade="F2"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2F2F2" w:themeColor="background1" w:themeShade="F2"/>
                <w:sz w:val="24"/>
                <w:szCs w:val="24"/>
              </w:rPr>
              <w:t xml:space="preserve">Open Value Subscription </w:t>
            </w:r>
          </w:p>
        </w:tc>
      </w:tr>
      <w:tr w:rsidR="006A38CF" w:rsidRPr="00777F75" w14:paraId="1C3BAAA9" w14:textId="77777777" w:rsidTr="00B76AD0">
        <w:trPr>
          <w:trHeight w:val="614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3A17B08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Governing customer agreement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4F9DA51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Microsoft Customer Agreement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0392B4B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Open License Agreement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C3EBC3A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Open Value Agreement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DC7F10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Open Value Subscription </w:t>
            </w:r>
          </w:p>
          <w:p w14:paraId="3A77AD2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Agreement </w:t>
            </w:r>
          </w:p>
        </w:tc>
      </w:tr>
      <w:tr w:rsidR="006A38CF" w:rsidRPr="00777F75" w14:paraId="0AB3CC68" w14:textId="77777777" w:rsidTr="00B76AD0">
        <w:trPr>
          <w:trHeight w:val="614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380ECCEB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Term of agreement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AD81DB4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Evergreen, tied to customer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FF83D0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2 years, tied to customer purchase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14B4AE8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3 years, tied to customer purchase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08573A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3 years, tied to customer purchase </w:t>
            </w:r>
          </w:p>
        </w:tc>
      </w:tr>
      <w:tr w:rsidR="006A38CF" w:rsidRPr="00777F75" w14:paraId="18F0CDB0" w14:textId="77777777" w:rsidTr="00B76AD0">
        <w:trPr>
          <w:trHeight w:val="1871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2EB55E5D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Requirements to start agreement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EF1F28B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None – just acceptance of terms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2F2B9C1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Purchase of 5 qualifying software licenses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4CCF34F" w14:textId="77777777" w:rsidR="006A38CF" w:rsidRPr="00777F75" w:rsidRDefault="00F949C8">
            <w:pPr>
              <w:spacing w:after="58" w:line="239" w:lineRule="auto"/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Purchase of 5 qualifying software licenses (non-organization-wide option), or </w:t>
            </w:r>
          </w:p>
          <w:p w14:paraId="559F0181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Purchase an Enterprise Product for all Qualified Devices with a minimum of 5 devices (organization-wide option)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009899B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Subscribe to an Enterprise Product for all Qualified Devices with a minimum of 5 devices </w:t>
            </w:r>
          </w:p>
        </w:tc>
      </w:tr>
      <w:tr w:rsidR="006A38CF" w:rsidRPr="00777F75" w14:paraId="05565E4B" w14:textId="77777777" w:rsidTr="00B76AD0">
        <w:trPr>
          <w:trHeight w:val="853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90F8C43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Channel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484D071" w14:textId="77777777" w:rsidR="006A38CF" w:rsidRPr="00777F75" w:rsidRDefault="00F949C8">
            <w:pPr>
              <w:spacing w:line="239" w:lineRule="auto"/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Sold by CSP Indirect Resellers purchasing from qualified CSP </w:t>
            </w:r>
          </w:p>
          <w:p w14:paraId="463D3A52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Indirect Providers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5F32944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Sold by Resellers purchasing from Distributors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C82E880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Sold by Resellers purchasing from Distributors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51E455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Sold by Resellers purchasing from Distributors </w:t>
            </w:r>
          </w:p>
        </w:tc>
      </w:tr>
      <w:tr w:rsidR="006A38CF" w:rsidRPr="00777F75" w14:paraId="7A498176" w14:textId="77777777" w:rsidTr="00B76AD0">
        <w:trPr>
          <w:trHeight w:val="614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5D6C0E41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Eligible customer types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56BB77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Commercial. Government, </w:t>
            </w:r>
          </w:p>
          <w:p w14:paraId="606B3B7B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Education, Nonprofit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CD5CE4E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Commercial. Government, </w:t>
            </w:r>
          </w:p>
          <w:p w14:paraId="01583A0A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Education, Nonprofit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0B751D9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Commercial. Government, </w:t>
            </w:r>
          </w:p>
          <w:p w14:paraId="03CBBEDD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Education, Nonprofit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A65D8C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Commercial. Government, </w:t>
            </w:r>
          </w:p>
          <w:p w14:paraId="7039F3C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Education, Nonprofit </w:t>
            </w:r>
          </w:p>
        </w:tc>
      </w:tr>
      <w:tr w:rsidR="006A38CF" w:rsidRPr="00777F75" w14:paraId="3055836F" w14:textId="77777777" w:rsidTr="00B76AD0">
        <w:trPr>
          <w:trHeight w:val="614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70F8955C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Special pricing for eligible customers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B86D041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Commercial*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DEFFB65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Commercial. Government, </w:t>
            </w:r>
          </w:p>
          <w:p w14:paraId="0A8C2ADC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Education, Nonprofit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E54F33E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Commercial. Government.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C0469A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Commercial. Government, Education. </w:t>
            </w:r>
          </w:p>
        </w:tc>
      </w:tr>
      <w:tr w:rsidR="006A38CF" w:rsidRPr="00777F75" w14:paraId="188625CE" w14:textId="77777777" w:rsidTr="00B76AD0">
        <w:trPr>
          <w:trHeight w:val="614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5B9FFE68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Programmatic volume discounts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3EFC7C1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None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0CF072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None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151A341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None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3F0D0C7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None </w:t>
            </w:r>
          </w:p>
        </w:tc>
      </w:tr>
      <w:tr w:rsidR="006A38CF" w:rsidRPr="00777F75" w14:paraId="749AF2B0" w14:textId="77777777" w:rsidTr="00B76AD0">
        <w:trPr>
          <w:trHeight w:val="611"/>
        </w:trPr>
        <w:tc>
          <w:tcPr>
            <w:tcW w:w="252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D651C8F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Access to keys to install software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B059A2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Microsoft 365 Admin Center </w:t>
            </w:r>
          </w:p>
        </w:tc>
        <w:tc>
          <w:tcPr>
            <w:tcW w:w="294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0F79BEB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Volume Licensing Service Center </w:t>
            </w:r>
          </w:p>
          <w:p w14:paraId="3625405E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(VLSC) </w:t>
            </w:r>
          </w:p>
        </w:tc>
        <w:tc>
          <w:tcPr>
            <w:tcW w:w="29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E232041" w14:textId="77777777" w:rsidR="006A38CF" w:rsidRPr="00777F75" w:rsidRDefault="00F949C8">
            <w:pPr>
              <w:ind w:left="3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VLSC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4993535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VLSC </w:t>
            </w:r>
          </w:p>
        </w:tc>
      </w:tr>
    </w:tbl>
    <w:p w14:paraId="775D523B" w14:textId="77777777" w:rsidR="006A38CF" w:rsidRPr="00777F75" w:rsidRDefault="00F949C8">
      <w:pPr>
        <w:spacing w:after="115"/>
        <w:rPr>
          <w:rFonts w:asciiTheme="minorHAnsi" w:hAnsiTheme="minorHAnsi" w:cstheme="minorHAnsi"/>
        </w:rPr>
      </w:pPr>
      <w:r w:rsidRPr="00777F75">
        <w:rPr>
          <w:rFonts w:asciiTheme="minorHAnsi" w:eastAsia="Segoe UI" w:hAnsiTheme="minorHAnsi" w:cstheme="minorHAnsi"/>
        </w:rPr>
        <w:t xml:space="preserve"> </w:t>
      </w:r>
    </w:p>
    <w:p w14:paraId="52288ADB" w14:textId="5A051A59" w:rsidR="00BE138B" w:rsidRPr="00777F75" w:rsidRDefault="00F949C8">
      <w:pPr>
        <w:spacing w:after="158"/>
        <w:rPr>
          <w:rFonts w:asciiTheme="minorHAnsi" w:eastAsia="Segoe UI" w:hAnsiTheme="minorHAnsi" w:cstheme="minorHAnsi"/>
          <w:i/>
          <w:sz w:val="20"/>
          <w:szCs w:val="24"/>
        </w:rPr>
      </w:pPr>
      <w:r w:rsidRPr="00777F75">
        <w:rPr>
          <w:rFonts w:asciiTheme="minorHAnsi" w:eastAsia="Segoe UI" w:hAnsiTheme="minorHAnsi" w:cstheme="minorHAnsi"/>
          <w:i/>
          <w:sz w:val="20"/>
          <w:szCs w:val="24"/>
        </w:rPr>
        <w:t xml:space="preserve">*Education and nonprofit pricing </w:t>
      </w:r>
      <w:r w:rsidR="00C87987" w:rsidRPr="00777F75">
        <w:rPr>
          <w:rFonts w:asciiTheme="minorHAnsi" w:eastAsia="Segoe UI" w:hAnsiTheme="minorHAnsi" w:cstheme="minorHAnsi"/>
          <w:i/>
          <w:sz w:val="20"/>
          <w:szCs w:val="24"/>
        </w:rPr>
        <w:t>are</w:t>
      </w:r>
      <w:r w:rsidRPr="00777F75">
        <w:rPr>
          <w:rFonts w:asciiTheme="minorHAnsi" w:eastAsia="Segoe UI" w:hAnsiTheme="minorHAnsi" w:cstheme="minorHAnsi"/>
          <w:i/>
          <w:sz w:val="20"/>
          <w:szCs w:val="24"/>
        </w:rPr>
        <w:t xml:space="preserve"> available for some Online Services offerings </w:t>
      </w:r>
    </w:p>
    <w:p w14:paraId="1259859C" w14:textId="77777777" w:rsidR="00BE138B" w:rsidRPr="00777F75" w:rsidRDefault="00BE138B">
      <w:pPr>
        <w:rPr>
          <w:rFonts w:asciiTheme="minorHAnsi" w:eastAsia="Segoe UI" w:hAnsiTheme="minorHAnsi" w:cstheme="minorHAnsi"/>
          <w:i/>
          <w:sz w:val="20"/>
          <w:szCs w:val="24"/>
        </w:rPr>
      </w:pPr>
      <w:r w:rsidRPr="00777F75">
        <w:rPr>
          <w:rFonts w:asciiTheme="minorHAnsi" w:eastAsia="Segoe UI" w:hAnsiTheme="minorHAnsi" w:cstheme="minorHAnsi"/>
          <w:i/>
          <w:sz w:val="20"/>
          <w:szCs w:val="24"/>
        </w:rPr>
        <w:br w:type="page"/>
      </w:r>
    </w:p>
    <w:tbl>
      <w:tblPr>
        <w:tblStyle w:val="TableGrid1"/>
        <w:tblW w:w="14310" w:type="dxa"/>
        <w:tblInd w:w="2" w:type="dxa"/>
        <w:tblCellMar>
          <w:top w:w="129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521"/>
        <w:gridCol w:w="2948"/>
        <w:gridCol w:w="2948"/>
        <w:gridCol w:w="2948"/>
        <w:gridCol w:w="2945"/>
      </w:tblGrid>
      <w:tr w:rsidR="006A38CF" w:rsidRPr="00777F75" w14:paraId="2C798DE5" w14:textId="77777777" w:rsidTr="00CF6547">
        <w:trPr>
          <w:trHeight w:val="432"/>
        </w:trPr>
        <w:tc>
          <w:tcPr>
            <w:tcW w:w="2521" w:type="dxa"/>
            <w:vMerge w:val="restart"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  <w:vAlign w:val="center"/>
          </w:tcPr>
          <w:p w14:paraId="6D35847F" w14:textId="77777777" w:rsidR="006A38CF" w:rsidRPr="00777F75" w:rsidRDefault="00F949C8">
            <w:pPr>
              <w:spacing w:after="287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sz w:val="18"/>
              </w:rPr>
              <w:lastRenderedPageBreak/>
              <w:t xml:space="preserve">  </w:t>
            </w:r>
          </w:p>
          <w:p w14:paraId="3928F599" w14:textId="77777777" w:rsidR="006A38CF" w:rsidRPr="00777F75" w:rsidRDefault="00F949C8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color w:val="FFFFFF"/>
                <w:sz w:val="18"/>
              </w:rPr>
              <w:t xml:space="preserve"> </w:t>
            </w:r>
          </w:p>
        </w:tc>
        <w:tc>
          <w:tcPr>
            <w:tcW w:w="11789" w:type="dxa"/>
            <w:gridSpan w:val="4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21498E"/>
            <w:vAlign w:val="center"/>
          </w:tcPr>
          <w:p w14:paraId="7362B2FD" w14:textId="77777777" w:rsidR="006A38CF" w:rsidRPr="00777F75" w:rsidRDefault="00F949C8">
            <w:pPr>
              <w:ind w:right="1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8"/>
                <w:szCs w:val="28"/>
              </w:rPr>
              <w:t>Licenses without Software Assurance</w:t>
            </w:r>
            <w:r w:rsidRPr="00777F75">
              <w:rPr>
                <w:rFonts w:asciiTheme="minorHAnsi" w:eastAsia="Segoe U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6A38CF" w:rsidRPr="00777F75" w14:paraId="7360C254" w14:textId="77777777" w:rsidTr="00BE138B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</w:tcPr>
          <w:p w14:paraId="4E4558F1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2060"/>
            <w:vAlign w:val="center"/>
          </w:tcPr>
          <w:p w14:paraId="5571EBB8" w14:textId="77777777" w:rsidR="006A38CF" w:rsidRPr="00777F75" w:rsidRDefault="00F949C8">
            <w:pPr>
              <w:ind w:right="1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CSP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7D31" w:themeFill="accent2"/>
            <w:vAlign w:val="center"/>
          </w:tcPr>
          <w:p w14:paraId="0E6CC757" w14:textId="77777777" w:rsidR="006A38CF" w:rsidRPr="00777F75" w:rsidRDefault="00F949C8">
            <w:pPr>
              <w:ind w:right="13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50"/>
            <w:vAlign w:val="center"/>
          </w:tcPr>
          <w:p w14:paraId="7E2811BE" w14:textId="77777777" w:rsidR="006A38CF" w:rsidRPr="00777F75" w:rsidRDefault="00F949C8">
            <w:pPr>
              <w:ind w:right="13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Value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F0"/>
            <w:vAlign w:val="center"/>
          </w:tcPr>
          <w:p w14:paraId="623DAE9E" w14:textId="77777777" w:rsidR="006A38CF" w:rsidRPr="00777F75" w:rsidRDefault="00F949C8">
            <w:pPr>
              <w:ind w:right="1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Value Subscription </w:t>
            </w:r>
          </w:p>
        </w:tc>
      </w:tr>
      <w:tr w:rsidR="006A38CF" w:rsidRPr="00777F75" w14:paraId="357CCC72" w14:textId="77777777" w:rsidTr="00552AF9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20C1609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Availability 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4B64B7D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Yes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07AA352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Yes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BD8615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No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71C588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No </w:t>
            </w:r>
          </w:p>
        </w:tc>
      </w:tr>
      <w:tr w:rsidR="006A38CF" w:rsidRPr="00777F75" w14:paraId="4F35657B" w14:textId="77777777" w:rsidTr="00552AF9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0FBBFAFF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Types of licenses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998CA59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Perpetual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5979DA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Perpetual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4873FD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3AA16B2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7B2C08E5" w14:textId="77777777" w:rsidTr="00552AF9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4E831013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Payment terms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50C946D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Upfront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EA6E62D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Upfront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3D91841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A84292A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0249E0D4" w14:textId="77777777" w:rsidTr="00552AF9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35E34D2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Cancellation terms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01D5167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Within 60 days for full refund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FC8B295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Within 60 days for full refund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177F9FD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2BE1C20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17B27A60" w14:textId="77777777" w:rsidTr="00552AF9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742E4ED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On-going commitment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C5555FC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0D04EA8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2666005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C7E6340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21F17D8B" w14:textId="77777777">
        <w:trPr>
          <w:trHeight w:val="1332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350D6C8C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Products available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F0A0F20" w14:textId="77777777" w:rsidR="006A38CF" w:rsidRPr="00777F75" w:rsidRDefault="00F949C8">
            <w:pPr>
              <w:spacing w:line="239" w:lineRule="auto"/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Most products, but excluding all Dynamics 365 on-premises products, System Center products, and Azure DevOps </w:t>
            </w:r>
          </w:p>
          <w:p w14:paraId="1FF3176B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Server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BD620B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Most products but excluding </w:t>
            </w:r>
          </w:p>
          <w:p w14:paraId="70B1D2D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Dynamics 365 Operations Server, </w:t>
            </w:r>
          </w:p>
          <w:p w14:paraId="70F24B15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System Center products, and </w:t>
            </w:r>
          </w:p>
          <w:p w14:paraId="1A3761D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Azure DevOps Server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9B1164C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9B14D5A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075B3E5F" w14:textId="77777777">
        <w:trPr>
          <w:trHeight w:val="853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4869FD1C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On-premises use rights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51FFD2E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Rights to install software in an on-premises physical or virtual operating system environment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74097AA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Rights to install software in an on-premises physical or virtual operating system environment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407394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42E82C4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3BF587BD" w14:textId="77777777" w:rsidTr="00E269AC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52747995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Customer deployment requirements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9693660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Simple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457D445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Simple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8773B47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129CEF7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00CDCB22" w14:textId="77777777" w:rsidTr="00E269AC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5565255E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Rights to use licenses in </w:t>
            </w:r>
          </w:p>
          <w:p w14:paraId="245765EF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Azure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7EE530C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CF4C94E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5DB75EC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F47CE99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34AB8825" w14:textId="77777777" w:rsidTr="00E269AC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71F67B17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Rights to use licenses in other public clouds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7DD13DA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74F3FD4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650733E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761F972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3F9D2C94" w14:textId="77777777" w:rsidTr="00E269AC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3392C557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Upgrade rights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0A9628A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2060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D3609FF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ED7D31" w:themeColor="accent2"/>
                <w:sz w:val="20"/>
                <w:szCs w:val="20"/>
              </w:rPr>
              <w:t xml:space="preserve">None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D2A488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A2CB15E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12B29505" w14:textId="77777777" w:rsidTr="00E269AC">
        <w:trPr>
          <w:trHeight w:val="288"/>
        </w:trPr>
        <w:tc>
          <w:tcPr>
            <w:tcW w:w="252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0BC403E8" w14:textId="77777777" w:rsidR="006A38CF" w:rsidRPr="00777F75" w:rsidRDefault="00F949C8">
            <w:pPr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Downgrade rights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9D6A27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2060"/>
                <w:sz w:val="20"/>
                <w:szCs w:val="20"/>
              </w:rPr>
              <w:t xml:space="preserve">Yes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A23782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ED7D31" w:themeColor="accent2"/>
                <w:sz w:val="20"/>
                <w:szCs w:val="20"/>
              </w:rPr>
              <w:t xml:space="preserve">Yes </w:t>
            </w:r>
          </w:p>
        </w:tc>
        <w:tc>
          <w:tcPr>
            <w:tcW w:w="294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DC4A683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945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C34DA96" w14:textId="77777777" w:rsidR="006A38CF" w:rsidRPr="00777F75" w:rsidRDefault="00F949C8">
            <w:pPr>
              <w:ind w:left="2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B0F0"/>
                <w:sz w:val="20"/>
                <w:szCs w:val="20"/>
              </w:rPr>
              <w:t xml:space="preserve">-- </w:t>
            </w:r>
          </w:p>
        </w:tc>
      </w:tr>
    </w:tbl>
    <w:p w14:paraId="680BA347" w14:textId="6E0D8D49" w:rsidR="00E269AC" w:rsidRPr="00777F75" w:rsidRDefault="00F949C8">
      <w:pPr>
        <w:spacing w:after="0"/>
        <w:jc w:val="both"/>
        <w:rPr>
          <w:rFonts w:asciiTheme="minorHAnsi" w:eastAsia="Segoe UI" w:hAnsiTheme="minorHAnsi" w:cstheme="minorHAnsi"/>
        </w:rPr>
      </w:pPr>
      <w:r w:rsidRPr="00777F75">
        <w:rPr>
          <w:rFonts w:asciiTheme="minorHAnsi" w:eastAsia="Segoe UI" w:hAnsiTheme="minorHAnsi" w:cstheme="minorHAnsi"/>
        </w:rPr>
        <w:t xml:space="preserve"> </w:t>
      </w:r>
      <w:r w:rsidRPr="00777F75">
        <w:rPr>
          <w:rFonts w:asciiTheme="minorHAnsi" w:eastAsia="Segoe UI" w:hAnsiTheme="minorHAnsi" w:cstheme="minorHAnsi"/>
        </w:rPr>
        <w:tab/>
        <w:t xml:space="preserve"> </w:t>
      </w:r>
    </w:p>
    <w:p w14:paraId="18F21678" w14:textId="77777777" w:rsidR="00E269AC" w:rsidRPr="00777F75" w:rsidRDefault="00E269AC">
      <w:pPr>
        <w:rPr>
          <w:rFonts w:asciiTheme="minorHAnsi" w:eastAsia="Segoe UI" w:hAnsiTheme="minorHAnsi" w:cstheme="minorHAnsi"/>
        </w:rPr>
      </w:pPr>
      <w:r w:rsidRPr="00777F75">
        <w:rPr>
          <w:rFonts w:asciiTheme="minorHAnsi" w:eastAsia="Segoe UI" w:hAnsiTheme="minorHAnsi" w:cstheme="minorHAnsi"/>
        </w:rPr>
        <w:br w:type="page"/>
      </w:r>
    </w:p>
    <w:tbl>
      <w:tblPr>
        <w:tblStyle w:val="TableGrid1"/>
        <w:tblW w:w="14850" w:type="dxa"/>
        <w:tblInd w:w="-180" w:type="dxa"/>
        <w:tblLayout w:type="fixed"/>
        <w:tblCellMar>
          <w:top w:w="129" w:type="dxa"/>
          <w:right w:w="108" w:type="dxa"/>
        </w:tblCellMar>
        <w:tblLook w:val="04A0" w:firstRow="1" w:lastRow="0" w:firstColumn="1" w:lastColumn="0" w:noHBand="0" w:noVBand="1"/>
      </w:tblPr>
      <w:tblGrid>
        <w:gridCol w:w="2691"/>
        <w:gridCol w:w="1282"/>
        <w:gridCol w:w="1425"/>
        <w:gridCol w:w="2970"/>
        <w:gridCol w:w="3332"/>
        <w:gridCol w:w="3150"/>
      </w:tblGrid>
      <w:tr w:rsidR="006A38CF" w:rsidRPr="00777F75" w14:paraId="16D997BB" w14:textId="77777777" w:rsidTr="00CF6547">
        <w:trPr>
          <w:trHeight w:val="288"/>
        </w:trPr>
        <w:tc>
          <w:tcPr>
            <w:tcW w:w="2691" w:type="dxa"/>
            <w:vMerge w:val="restart"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  <w:vAlign w:val="center"/>
          </w:tcPr>
          <w:p w14:paraId="2183B90E" w14:textId="77777777" w:rsidR="006A38CF" w:rsidRPr="00777F75" w:rsidRDefault="00F949C8">
            <w:pPr>
              <w:spacing w:after="287"/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sz w:val="18"/>
              </w:rPr>
              <w:lastRenderedPageBreak/>
              <w:t xml:space="preserve"> </w:t>
            </w:r>
          </w:p>
          <w:p w14:paraId="555F14E4" w14:textId="77777777" w:rsidR="006A38CF" w:rsidRPr="00777F75" w:rsidRDefault="00F949C8">
            <w:pPr>
              <w:ind w:left="161"/>
              <w:jc w:val="center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color w:val="FFFFFF"/>
                <w:sz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  <w:shd w:val="clear" w:color="auto" w:fill="21498E"/>
          </w:tcPr>
          <w:p w14:paraId="3BB1619E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77" w:type="dxa"/>
            <w:gridSpan w:val="4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  <w:shd w:val="clear" w:color="auto" w:fill="21498E"/>
            <w:vAlign w:val="center"/>
          </w:tcPr>
          <w:p w14:paraId="1EFACEBB" w14:textId="77777777" w:rsidR="006A38CF" w:rsidRPr="00777F75" w:rsidRDefault="00F949C8">
            <w:pPr>
              <w:ind w:left="2953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8"/>
                <w:szCs w:val="28"/>
              </w:rPr>
              <w:t>Licenses with Software Assurance</w:t>
            </w:r>
            <w:r w:rsidRPr="00777F75">
              <w:rPr>
                <w:rFonts w:asciiTheme="minorHAnsi" w:eastAsia="Segoe U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777F75" w:rsidRPr="00777F75" w14:paraId="6E56527B" w14:textId="77777777" w:rsidTr="00B83C40">
        <w:trPr>
          <w:trHeight w:val="216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</w:tcPr>
          <w:p w14:paraId="349E9276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82" w:type="dxa"/>
            <w:tcBorders>
              <w:top w:val="single" w:sz="6" w:space="0" w:color="D0CECE"/>
              <w:left w:val="single" w:sz="6" w:space="0" w:color="D0CECE"/>
              <w:bottom w:val="single" w:sz="4" w:space="0" w:color="E7E6E6" w:themeColor="background2"/>
              <w:right w:val="nil"/>
            </w:tcBorders>
            <w:shd w:val="clear" w:color="auto" w:fill="002060"/>
          </w:tcPr>
          <w:p w14:paraId="4265952E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D0CECE"/>
              <w:left w:val="nil"/>
              <w:bottom w:val="single" w:sz="4" w:space="0" w:color="E7E6E6" w:themeColor="background2"/>
              <w:right w:val="single" w:sz="6" w:space="0" w:color="D0CECE"/>
            </w:tcBorders>
            <w:shd w:val="clear" w:color="auto" w:fill="002060"/>
            <w:vAlign w:val="center"/>
          </w:tcPr>
          <w:p w14:paraId="4E18D728" w14:textId="77777777" w:rsidR="006A38CF" w:rsidRPr="00777F75" w:rsidRDefault="00F949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CSP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7D31" w:themeFill="accent2"/>
            <w:vAlign w:val="center"/>
          </w:tcPr>
          <w:p w14:paraId="2A030461" w14:textId="77777777" w:rsidR="006A38CF" w:rsidRPr="00777F75" w:rsidRDefault="00F949C8">
            <w:pPr>
              <w:ind w:left="11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50"/>
            <w:vAlign w:val="center"/>
          </w:tcPr>
          <w:p w14:paraId="50CBD7D3" w14:textId="77777777" w:rsidR="006A38CF" w:rsidRPr="00777F75" w:rsidRDefault="00F949C8">
            <w:pPr>
              <w:ind w:left="11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Value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F0"/>
            <w:vAlign w:val="center"/>
          </w:tcPr>
          <w:p w14:paraId="3723AAA5" w14:textId="77777777" w:rsidR="006A38CF" w:rsidRPr="00777F75" w:rsidRDefault="00F949C8">
            <w:pPr>
              <w:ind w:left="11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Value Subscription </w:t>
            </w:r>
          </w:p>
        </w:tc>
      </w:tr>
      <w:tr w:rsidR="006F1853" w:rsidRPr="00777F75" w14:paraId="014471F9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00A73106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Availability 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3A11F53" w14:textId="5688D07C" w:rsidR="006F1853" w:rsidRPr="00777F75" w:rsidRDefault="006F1853" w:rsidP="00AB4CAE">
            <w:pPr>
              <w:ind w:left="108"/>
              <w:rPr>
                <w:rFonts w:asciiTheme="minorHAnsi" w:eastAsia="Segoe UI" w:hAnsiTheme="minorHAnsi" w:cstheme="minorHAnsi"/>
                <w:bCs/>
                <w:color w:val="7030A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7030A0"/>
                <w:sz w:val="20"/>
                <w:szCs w:val="20"/>
              </w:rPr>
              <w:t xml:space="preserve">No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073BAA08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Yes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6F69BF2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Yes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DC95EBF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Yes </w:t>
            </w:r>
          </w:p>
        </w:tc>
      </w:tr>
      <w:tr w:rsidR="006F1853" w:rsidRPr="00777F75" w14:paraId="65D8DD37" w14:textId="77777777" w:rsidTr="00B83C40">
        <w:trPr>
          <w:trHeight w:val="387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39D513DB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Types of licenses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5AA78BA" w14:textId="1785283E" w:rsidR="006F1853" w:rsidRPr="00777F75" w:rsidRDefault="006F1853" w:rsidP="00E16676">
            <w:pPr>
              <w:ind w:left="108"/>
              <w:rPr>
                <w:rFonts w:asciiTheme="minorHAnsi" w:eastAsia="Segoe UI" w:hAnsiTheme="minorHAnsi" w:cstheme="minorHAnsi"/>
                <w:bCs/>
                <w:color w:val="7030A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7030A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17E64C64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Perpetual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90D637A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Perpetual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1AE46A5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Subscription </w:t>
            </w:r>
          </w:p>
        </w:tc>
      </w:tr>
      <w:tr w:rsidR="006F1853" w:rsidRPr="00777F75" w14:paraId="70AED260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4BAB6670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Payment terms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B2DA18E" w14:textId="06073976" w:rsidR="006F1853" w:rsidRPr="00777F75" w:rsidRDefault="006F1853" w:rsidP="00E16676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509BAEE9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Upfront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F91F0E4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Upfront or spread payments annually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CD34946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Annual payments </w:t>
            </w:r>
          </w:p>
        </w:tc>
      </w:tr>
      <w:tr w:rsidR="006F1853" w:rsidRPr="00777F75" w14:paraId="2119BD67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7DC9A5CE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Cancellation terms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B38D600" w14:textId="7012B43B" w:rsidR="006F1853" w:rsidRPr="00777F75" w:rsidRDefault="006F185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0E768CFA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Within 60 days for full refund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50B1787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No cancellation or refunds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5928589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No cancellation or refunds </w:t>
            </w:r>
          </w:p>
        </w:tc>
      </w:tr>
      <w:tr w:rsidR="006F1853" w:rsidRPr="00777F75" w14:paraId="089EF45F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7383C9B8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On-going commitment at end of agreement term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0B8B5EB" w14:textId="0BAEEDED" w:rsidR="006F1853" w:rsidRPr="00777F75" w:rsidRDefault="006F185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7927E90F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Renewal of Software Assurance 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B24EBD9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Renewal of Software Assurance 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278A000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Renewal of agreement, or buyout licenses </w:t>
            </w:r>
          </w:p>
        </w:tc>
      </w:tr>
      <w:tr w:rsidR="006F1853" w:rsidRPr="00777F75" w14:paraId="111BB5A9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5511A838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Products available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3EA35FF" w14:textId="3247260A" w:rsidR="006F1853" w:rsidRPr="00777F75" w:rsidRDefault="006F1853" w:rsidP="00E16676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0B265E4B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All products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9FC10E0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All products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62052F8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All products </w:t>
            </w:r>
          </w:p>
        </w:tc>
      </w:tr>
      <w:tr w:rsidR="006F1853" w:rsidRPr="00777F75" w14:paraId="1B0EE64D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6F14C565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On-premises use rights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80277A6" w14:textId="51E79FCE" w:rsidR="006F1853" w:rsidRPr="00777F75" w:rsidRDefault="006F185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01B4E424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Rights to install software in an on-premises physical or virtual operating system environment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3A0DB79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Rights to install software in an on-premises physical or virtual operating system environment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D1072C0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Rights to install software in an on-premises physical or virtual operating system environment </w:t>
            </w:r>
          </w:p>
        </w:tc>
      </w:tr>
      <w:tr w:rsidR="006F1853" w:rsidRPr="00777F75" w14:paraId="3F17CCF4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25A5D471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Customer deployment options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703D40D" w14:textId="18BFA07C" w:rsidR="006F1853" w:rsidRPr="00777F75" w:rsidRDefault="006F185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38EAA52E" w14:textId="77777777" w:rsidR="006F1853" w:rsidRPr="00777F75" w:rsidRDefault="006F1853">
            <w:pPr>
              <w:spacing w:line="239" w:lineRule="auto"/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More sophisticated deployment requirements: fail-over rights, disaster recovery rights, unlimited virtualization etc. </w:t>
            </w:r>
          </w:p>
          <w:p w14:paraId="1CCFA0DE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allowed by SA benefits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45B1F3E" w14:textId="77777777" w:rsidR="006F1853" w:rsidRPr="00777F75" w:rsidRDefault="006F1853">
            <w:pPr>
              <w:spacing w:line="239" w:lineRule="auto"/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More sophisticated deployment requirements: fail-over rights, disaster recovery rights, unlimited virtualization etc. </w:t>
            </w:r>
          </w:p>
          <w:p w14:paraId="16CA6904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allowed by SA benefits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E2B699C" w14:textId="77777777" w:rsidR="006F1853" w:rsidRPr="00777F75" w:rsidRDefault="006F1853">
            <w:pPr>
              <w:spacing w:line="239" w:lineRule="auto"/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More sophisticated deployment requirements: fail-over rights, disaster recovery rights, unlimited virtualization etc. </w:t>
            </w:r>
          </w:p>
          <w:p w14:paraId="127F777E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allowed by SA benefits </w:t>
            </w:r>
          </w:p>
        </w:tc>
      </w:tr>
      <w:tr w:rsidR="006F1853" w:rsidRPr="00777F75" w14:paraId="2A033D92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0F1E7E9E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Rights to use licenses in </w:t>
            </w:r>
          </w:p>
          <w:p w14:paraId="1FEC1BF0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Azure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BEA0EB6" w14:textId="10B148C4" w:rsidR="006F1853" w:rsidRPr="00777F75" w:rsidRDefault="006F185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1D434060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Rights to assign licenses to virtual machines via the Azure Hybrid Benefit or License Mobility through SA rights (not available for all products)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80957B3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Rights to assign licenses to virtual machines via the Azure Hybrid Benefit or License Mobility through SA rights (not available for all products)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9764A0A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Rights to assign licenses to virtual machines via the Azure Hybrid Benefit or License Mobility through SA rights (not available for all products) </w:t>
            </w:r>
          </w:p>
        </w:tc>
      </w:tr>
      <w:tr w:rsidR="006F1853" w:rsidRPr="00777F75" w14:paraId="06DD7853" w14:textId="77777777" w:rsidTr="00B83C40">
        <w:trPr>
          <w:trHeight w:val="20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595DDF02" w14:textId="77777777" w:rsidR="006F1853" w:rsidRPr="00777F75" w:rsidRDefault="006F1853">
            <w:pPr>
              <w:ind w:left="106"/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Rights to use licenses in other public clouds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BC7B2A4" w14:textId="5E3A0B40" w:rsidR="006F1853" w:rsidRPr="00777F75" w:rsidRDefault="006F1853" w:rsidP="00E16676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771D19D0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Rights to assign licenses to virtual machines via License Mobility through SA rights (not available for all products)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2743CDF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Rights to assign licenses to virtual machines via License Mobility through SA rights (not available for all products)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04FF7AD" w14:textId="77777777" w:rsidR="006F1853" w:rsidRPr="00777F75" w:rsidRDefault="006F1853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Rights to assign licenses to virtual machines via License Mobility through SA rights (not available for all products) </w:t>
            </w:r>
          </w:p>
        </w:tc>
      </w:tr>
      <w:tr w:rsidR="006F1853" w:rsidRPr="00777F75" w14:paraId="2679B175" w14:textId="77777777" w:rsidTr="00B83C40">
        <w:trPr>
          <w:trHeight w:val="279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4" w:space="0" w:color="E7E6E6" w:themeColor="background2"/>
            </w:tcBorders>
            <w:shd w:val="clear" w:color="auto" w:fill="EDEDED"/>
          </w:tcPr>
          <w:p w14:paraId="795DBEC6" w14:textId="77777777" w:rsidR="006F1853" w:rsidRPr="00777F75" w:rsidRDefault="006F1853" w:rsidP="0000585A">
            <w:pPr>
              <w:ind w:left="106"/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Upgrade rights </w:t>
            </w:r>
          </w:p>
        </w:tc>
        <w:tc>
          <w:tcPr>
            <w:tcW w:w="270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D9F1AB2" w14:textId="2EA62C6F" w:rsidR="006F1853" w:rsidRPr="00777F75" w:rsidRDefault="006F1853" w:rsidP="00E16676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-- </w:t>
            </w:r>
          </w:p>
        </w:tc>
        <w:tc>
          <w:tcPr>
            <w:tcW w:w="2970" w:type="dxa"/>
            <w:tcBorders>
              <w:top w:val="single" w:sz="6" w:space="0" w:color="D0CECE"/>
              <w:left w:val="single" w:sz="4" w:space="0" w:color="E7E6E6" w:themeColor="background2"/>
              <w:bottom w:val="single" w:sz="6" w:space="0" w:color="D0CECE"/>
              <w:right w:val="single" w:sz="6" w:space="0" w:color="D0CECE"/>
            </w:tcBorders>
          </w:tcPr>
          <w:p w14:paraId="2BCFD643" w14:textId="77777777" w:rsidR="006F1853" w:rsidRPr="00777F75" w:rsidRDefault="006F1853" w:rsidP="0000585A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Yes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F5B99A3" w14:textId="77777777" w:rsidR="006F1853" w:rsidRPr="00777F75" w:rsidRDefault="006F1853" w:rsidP="0000585A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Yes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821DF20" w14:textId="77777777" w:rsidR="006F1853" w:rsidRPr="00777F75" w:rsidRDefault="006F1853" w:rsidP="0000585A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Yes </w:t>
            </w:r>
          </w:p>
        </w:tc>
      </w:tr>
      <w:tr w:rsidR="006A38CF" w:rsidRPr="00777F75" w14:paraId="06C0C705" w14:textId="77777777" w:rsidTr="00B83C40">
        <w:trPr>
          <w:trHeight w:val="261"/>
        </w:trPr>
        <w:tc>
          <w:tcPr>
            <w:tcW w:w="269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25999F63" w14:textId="77777777" w:rsidR="006A38CF" w:rsidRPr="00777F75" w:rsidRDefault="00F949C8" w:rsidP="0000585A">
            <w:pPr>
              <w:ind w:left="106"/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Downgrade rights </w:t>
            </w:r>
          </w:p>
        </w:tc>
        <w:tc>
          <w:tcPr>
            <w:tcW w:w="1282" w:type="dxa"/>
            <w:tcBorders>
              <w:top w:val="single" w:sz="4" w:space="0" w:color="E7E6E6" w:themeColor="background2"/>
              <w:left w:val="single" w:sz="6" w:space="0" w:color="D0CECE"/>
              <w:bottom w:val="single" w:sz="6" w:space="0" w:color="D0CECE"/>
              <w:right w:val="nil"/>
            </w:tcBorders>
          </w:tcPr>
          <w:p w14:paraId="11845031" w14:textId="77777777" w:rsidR="006A38CF" w:rsidRPr="00777F75" w:rsidRDefault="00F949C8" w:rsidP="0000585A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-- </w:t>
            </w:r>
          </w:p>
        </w:tc>
        <w:tc>
          <w:tcPr>
            <w:tcW w:w="1425" w:type="dxa"/>
            <w:tcBorders>
              <w:top w:val="single" w:sz="4" w:space="0" w:color="E7E6E6" w:themeColor="background2"/>
              <w:left w:val="nil"/>
              <w:bottom w:val="single" w:sz="6" w:space="0" w:color="D0CECE"/>
              <w:right w:val="single" w:sz="6" w:space="0" w:color="D0CECE"/>
            </w:tcBorders>
          </w:tcPr>
          <w:p w14:paraId="1C051642" w14:textId="77777777" w:rsidR="006A38CF" w:rsidRPr="00777F75" w:rsidRDefault="006A38CF" w:rsidP="00E16676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A33AD22" w14:textId="77777777" w:rsidR="006A38CF" w:rsidRPr="00777F75" w:rsidRDefault="00F949C8" w:rsidP="0000585A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Yes </w:t>
            </w:r>
          </w:p>
        </w:tc>
        <w:tc>
          <w:tcPr>
            <w:tcW w:w="333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B85ABF1" w14:textId="77777777" w:rsidR="006A38CF" w:rsidRPr="00777F75" w:rsidRDefault="00F949C8" w:rsidP="0000585A">
            <w:pPr>
              <w:ind w:left="108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Yes </w:t>
            </w:r>
          </w:p>
        </w:tc>
        <w:tc>
          <w:tcPr>
            <w:tcW w:w="315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2223E67" w14:textId="77777777" w:rsidR="006A38CF" w:rsidRPr="00777F75" w:rsidRDefault="00F949C8" w:rsidP="0000585A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Yes </w:t>
            </w:r>
          </w:p>
        </w:tc>
      </w:tr>
    </w:tbl>
    <w:p w14:paraId="271E13E3" w14:textId="77777777" w:rsidR="006B3D66" w:rsidRDefault="006B3D66">
      <w:r>
        <w:br w:type="page"/>
      </w:r>
    </w:p>
    <w:tbl>
      <w:tblPr>
        <w:tblStyle w:val="TableGrid1"/>
        <w:tblW w:w="14307" w:type="dxa"/>
        <w:tblInd w:w="1" w:type="dxa"/>
        <w:tblLayout w:type="fixed"/>
        <w:tblCellMar>
          <w:top w:w="129" w:type="dxa"/>
          <w:right w:w="115" w:type="dxa"/>
        </w:tblCellMar>
        <w:tblLook w:val="04A0" w:firstRow="1" w:lastRow="0" w:firstColumn="1" w:lastColumn="0" w:noHBand="0" w:noVBand="1"/>
      </w:tblPr>
      <w:tblGrid>
        <w:gridCol w:w="2523"/>
        <w:gridCol w:w="3236"/>
        <w:gridCol w:w="912"/>
        <w:gridCol w:w="1968"/>
        <w:gridCol w:w="2880"/>
        <w:gridCol w:w="2788"/>
      </w:tblGrid>
      <w:tr w:rsidR="006A38CF" w:rsidRPr="00777F75" w14:paraId="59FA3E47" w14:textId="77777777" w:rsidTr="00CF6547">
        <w:trPr>
          <w:trHeight w:val="432"/>
        </w:trPr>
        <w:tc>
          <w:tcPr>
            <w:tcW w:w="2523" w:type="dxa"/>
            <w:vMerge w:val="restart"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  <w:vAlign w:val="center"/>
          </w:tcPr>
          <w:p w14:paraId="063781BA" w14:textId="6AD5CCC8" w:rsidR="006A38CF" w:rsidRPr="00777F75" w:rsidRDefault="00F949C8">
            <w:pPr>
              <w:spacing w:after="287"/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lastRenderedPageBreak/>
              <w:t xml:space="preserve"> </w:t>
            </w:r>
            <w:r w:rsidRPr="00777F75">
              <w:rPr>
                <w:rFonts w:asciiTheme="minorHAnsi" w:eastAsia="Segoe UI" w:hAnsiTheme="minorHAnsi" w:cstheme="minorHAnsi"/>
              </w:rPr>
              <w:tab/>
              <w:t xml:space="preserve"> </w:t>
            </w:r>
            <w:r w:rsidRPr="00777F75">
              <w:rPr>
                <w:rFonts w:asciiTheme="minorHAnsi" w:eastAsia="Segoe UI" w:hAnsiTheme="minorHAnsi" w:cstheme="minorHAnsi"/>
                <w:b/>
                <w:color w:val="FFFFFF"/>
                <w:sz w:val="18"/>
              </w:rPr>
              <w:t xml:space="preserve"> </w:t>
            </w:r>
          </w:p>
          <w:p w14:paraId="1A786196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4148" w:type="dxa"/>
            <w:gridSpan w:val="2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  <w:shd w:val="clear" w:color="auto" w:fill="21498E"/>
          </w:tcPr>
          <w:p w14:paraId="174486FE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48" w:type="dxa"/>
            <w:gridSpan w:val="2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  <w:shd w:val="clear" w:color="auto" w:fill="21498E"/>
            <w:vAlign w:val="center"/>
          </w:tcPr>
          <w:p w14:paraId="3AFB8D66" w14:textId="77777777" w:rsidR="006A38CF" w:rsidRPr="00777F75" w:rsidRDefault="00F949C8">
            <w:pPr>
              <w:ind w:left="60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8"/>
                <w:szCs w:val="28"/>
              </w:rPr>
              <w:t xml:space="preserve">Software Subscriptions </w:t>
            </w:r>
          </w:p>
        </w:tc>
        <w:tc>
          <w:tcPr>
            <w:tcW w:w="278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  <w:shd w:val="clear" w:color="auto" w:fill="21498E"/>
          </w:tcPr>
          <w:p w14:paraId="5F6C54B3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</w:tr>
      <w:tr w:rsidR="006A38CF" w:rsidRPr="00777F75" w14:paraId="69809ADA" w14:textId="77777777" w:rsidTr="006B3D66">
        <w:trPr>
          <w:trHeight w:val="20"/>
        </w:trPr>
        <w:tc>
          <w:tcPr>
            <w:tcW w:w="2523" w:type="dxa"/>
            <w:vMerge/>
            <w:tcBorders>
              <w:top w:val="nil"/>
              <w:left w:val="nil"/>
              <w:bottom w:val="single" w:sz="6" w:space="0" w:color="D0CECE"/>
              <w:right w:val="single" w:sz="6" w:space="0" w:color="D0CECE"/>
            </w:tcBorders>
          </w:tcPr>
          <w:p w14:paraId="70340F2B" w14:textId="77777777" w:rsidR="006A38CF" w:rsidRPr="00777F75" w:rsidRDefault="006A38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2060"/>
            <w:vAlign w:val="center"/>
          </w:tcPr>
          <w:p w14:paraId="1836DB9C" w14:textId="77777777" w:rsidR="006A38CF" w:rsidRPr="00777F75" w:rsidRDefault="00F949C8">
            <w:pPr>
              <w:ind w:left="1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CSP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  <w:shd w:val="clear" w:color="auto" w:fill="ED7D31" w:themeFill="accent2"/>
          </w:tcPr>
          <w:p w14:paraId="0B93B43C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  <w:shd w:val="clear" w:color="auto" w:fill="ED7D31" w:themeFill="accent2"/>
            <w:vAlign w:val="center"/>
          </w:tcPr>
          <w:p w14:paraId="3C761CFE" w14:textId="77777777" w:rsidR="006A38CF" w:rsidRPr="00777F75" w:rsidRDefault="00F949C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</w:t>
            </w: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50"/>
            <w:vAlign w:val="center"/>
          </w:tcPr>
          <w:p w14:paraId="1A4302C9" w14:textId="77777777" w:rsidR="006A38CF" w:rsidRPr="00777F75" w:rsidRDefault="00F949C8">
            <w:pPr>
              <w:ind w:left="118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Value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00B0F0"/>
            <w:vAlign w:val="center"/>
          </w:tcPr>
          <w:p w14:paraId="17CE8993" w14:textId="77777777" w:rsidR="006A38CF" w:rsidRPr="00777F75" w:rsidRDefault="00F949C8">
            <w:pPr>
              <w:ind w:left="116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FFFFFF"/>
                <w:sz w:val="24"/>
                <w:szCs w:val="24"/>
              </w:rPr>
              <w:t xml:space="preserve">Open Value Subscription </w:t>
            </w:r>
          </w:p>
        </w:tc>
      </w:tr>
      <w:tr w:rsidR="006A38CF" w:rsidRPr="00777F75" w14:paraId="307C462E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05C17DDB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Availability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B05FA2C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Yes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5F5B4BFD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No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4C7F193A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2F7AAA0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No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2598CD3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No </w:t>
            </w:r>
          </w:p>
        </w:tc>
      </w:tr>
      <w:tr w:rsidR="006A38CF" w:rsidRPr="00777F75" w14:paraId="238815D9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2A9D3026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Types of licenses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B4CE8AF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Subscription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00877B56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68934C29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5DDAA64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3DEC067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343DC8E7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36BAE4EC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Payment terms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AED0954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Upfront for a one or three-year term 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328B9BF5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30EAC193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910E764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889A9A3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52AAABF3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415114F8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Cancellation terms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E9E39C5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Within 60 days for a full refund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771B25F0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678B4D30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61D24F1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71F3115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2739AAB1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78936164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On-going commitment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90C2A8B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Renewal of Software </w:t>
            </w:r>
          </w:p>
          <w:p w14:paraId="72C90204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Subscription at end of one or three-year term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245F4665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761C5CBE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91ECCE0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DA67DEC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1083FA6E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A5607C3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Products available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174BE47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Windows Server Core licenses and CALs, SQL Server Core licenses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76B4559F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7F45BEED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1BA93BE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DC2AD6C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46EC1DF9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322AFA8B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On-premises use rights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5DA8342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Rights to install software in an on-premises physical or virtual operating system environment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1AEA4FDF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2A06F023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7372530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99A7E4D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599EDAAA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6B46B6AA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Customer deployment options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2DA9677" w14:textId="77777777" w:rsidR="006A38CF" w:rsidRPr="00777F75" w:rsidRDefault="00F949C8">
            <w:pPr>
              <w:spacing w:after="1" w:line="238" w:lineRule="auto"/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More sophisticated deployment requirements: fail-over rights, disaster recovery rights, unlimited virtualization etc. </w:t>
            </w:r>
          </w:p>
          <w:p w14:paraId="66CB0CB3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allowed by benefits included in </w:t>
            </w:r>
          </w:p>
          <w:p w14:paraId="16B31515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Software Subscriptions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6F3C893D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0069D55C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772AE8FC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4438FF16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4CF07BA4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3E378646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Rights to use licenses in </w:t>
            </w:r>
          </w:p>
          <w:p w14:paraId="7326EF16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Azure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7AF2005" w14:textId="77777777" w:rsidR="006A38CF" w:rsidRPr="00777F75" w:rsidRDefault="00F949C8">
            <w:pPr>
              <w:spacing w:after="2" w:line="237" w:lineRule="auto"/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Rights to assign licenses to virtual machines via the Azure </w:t>
            </w:r>
          </w:p>
          <w:p w14:paraId="546C3190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Hybrid Benefit 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55B641AB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4C022D97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A9BC5FC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15071D01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1C7A0B60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40C418F9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Rights to use licenses in other public clouds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3DFECC7E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0"/>
              </w:rPr>
              <w:t xml:space="preserve">None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72F7D4EA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ED7D31" w:themeColor="accent2"/>
                <w:sz w:val="20"/>
                <w:szCs w:val="20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28AFF85D" w14:textId="77777777" w:rsidR="006A38CF" w:rsidRPr="00777F75" w:rsidRDefault="006A38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1D7DC3C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B050"/>
                <w:sz w:val="20"/>
                <w:szCs w:val="20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5128921C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777F75">
              <w:rPr>
                <w:rFonts w:asciiTheme="minorHAnsi" w:eastAsia="Segoe UI" w:hAnsiTheme="minorHAnsi" w:cstheme="minorHAnsi"/>
                <w:b/>
                <w:color w:val="00B0F0"/>
                <w:sz w:val="20"/>
                <w:szCs w:val="20"/>
              </w:rPr>
              <w:t xml:space="preserve">-- </w:t>
            </w:r>
          </w:p>
        </w:tc>
      </w:tr>
      <w:tr w:rsidR="006A38CF" w:rsidRPr="00777F75" w14:paraId="506F6CFD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11132C22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</w:rPr>
            </w:pPr>
            <w:r w:rsidRPr="00777F75">
              <w:rPr>
                <w:rFonts w:asciiTheme="minorHAnsi" w:eastAsia="Segoe UI" w:hAnsiTheme="minorHAnsi" w:cstheme="minorHAnsi"/>
              </w:rPr>
              <w:t xml:space="preserve">Upgrade rights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790C80E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Yes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7857814C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ED7D31" w:themeColor="accent2"/>
                <w:sz w:val="20"/>
                <w:szCs w:val="24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50083400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5BFB359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color w:val="00B05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50"/>
                <w:sz w:val="20"/>
                <w:szCs w:val="24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65044E3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color w:val="00B0F0"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B0F0"/>
                <w:sz w:val="20"/>
                <w:szCs w:val="24"/>
              </w:rPr>
              <w:t xml:space="preserve">-- </w:t>
            </w:r>
          </w:p>
        </w:tc>
      </w:tr>
      <w:tr w:rsidR="006A38CF" w:rsidRPr="00777F75" w14:paraId="01BEDC1A" w14:textId="77777777" w:rsidTr="006B3D66">
        <w:trPr>
          <w:trHeight w:val="144"/>
        </w:trPr>
        <w:tc>
          <w:tcPr>
            <w:tcW w:w="2523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EDEDED"/>
          </w:tcPr>
          <w:p w14:paraId="5DB50C69" w14:textId="77777777" w:rsidR="006A38CF" w:rsidRPr="00777F75" w:rsidRDefault="00F949C8">
            <w:pPr>
              <w:ind w:left="106"/>
              <w:rPr>
                <w:rFonts w:asciiTheme="minorHAnsi" w:hAnsiTheme="minorHAnsi" w:cstheme="minorHAnsi"/>
                <w:szCs w:val="28"/>
              </w:rPr>
            </w:pPr>
            <w:r w:rsidRPr="00777F75">
              <w:rPr>
                <w:rFonts w:asciiTheme="minorHAnsi" w:eastAsia="Segoe UI" w:hAnsiTheme="minorHAnsi" w:cstheme="minorHAnsi"/>
                <w:szCs w:val="28"/>
              </w:rPr>
              <w:t xml:space="preserve">Downgrade rights </w:t>
            </w:r>
          </w:p>
        </w:tc>
        <w:tc>
          <w:tcPr>
            <w:tcW w:w="3236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05AA0492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2060"/>
                <w:sz w:val="20"/>
                <w:szCs w:val="24"/>
              </w:rPr>
              <w:t xml:space="preserve">Yes </w:t>
            </w:r>
          </w:p>
        </w:tc>
        <w:tc>
          <w:tcPr>
            <w:tcW w:w="912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nil"/>
            </w:tcBorders>
          </w:tcPr>
          <w:p w14:paraId="667E0225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70C0"/>
                <w:sz w:val="20"/>
                <w:szCs w:val="24"/>
              </w:rPr>
              <w:t xml:space="preserve">-- </w:t>
            </w:r>
          </w:p>
        </w:tc>
        <w:tc>
          <w:tcPr>
            <w:tcW w:w="1968" w:type="dxa"/>
            <w:tcBorders>
              <w:top w:val="single" w:sz="6" w:space="0" w:color="D0CECE"/>
              <w:left w:val="nil"/>
              <w:bottom w:val="single" w:sz="6" w:space="0" w:color="D0CECE"/>
              <w:right w:val="single" w:sz="6" w:space="0" w:color="D0CECE"/>
            </w:tcBorders>
          </w:tcPr>
          <w:p w14:paraId="0B252C9F" w14:textId="77777777" w:rsidR="006A38CF" w:rsidRPr="00777F75" w:rsidRDefault="006A38CF">
            <w:pPr>
              <w:rPr>
                <w:rFonts w:asciiTheme="minorHAnsi" w:hAnsiTheme="minorHAnsi" w:cstheme="minorHAnsi"/>
                <w:bCs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2C2D87CF" w14:textId="77777777" w:rsidR="006A38CF" w:rsidRPr="00777F75" w:rsidRDefault="00F949C8">
            <w:pPr>
              <w:ind w:left="109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7030A0"/>
                <w:sz w:val="20"/>
                <w:szCs w:val="24"/>
              </w:rPr>
              <w:t xml:space="preserve">-- </w:t>
            </w:r>
          </w:p>
        </w:tc>
        <w:tc>
          <w:tcPr>
            <w:tcW w:w="2788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</w:tcPr>
          <w:p w14:paraId="69BFE4F1" w14:textId="77777777" w:rsidR="006A38CF" w:rsidRPr="00777F75" w:rsidRDefault="00F949C8">
            <w:pPr>
              <w:ind w:left="108"/>
              <w:rPr>
                <w:rFonts w:asciiTheme="minorHAnsi" w:hAnsiTheme="minorHAnsi" w:cstheme="minorHAnsi"/>
                <w:bCs/>
                <w:sz w:val="20"/>
                <w:szCs w:val="24"/>
              </w:rPr>
            </w:pPr>
            <w:r w:rsidRPr="00777F75">
              <w:rPr>
                <w:rFonts w:asciiTheme="minorHAnsi" w:eastAsia="Segoe UI" w:hAnsiTheme="minorHAnsi" w:cstheme="minorHAnsi"/>
                <w:bCs/>
                <w:color w:val="008080"/>
                <w:sz w:val="20"/>
                <w:szCs w:val="24"/>
              </w:rPr>
              <w:t xml:space="preserve">-- </w:t>
            </w:r>
          </w:p>
        </w:tc>
      </w:tr>
    </w:tbl>
    <w:p w14:paraId="120E902A" w14:textId="5C3946DB" w:rsidR="006A38CF" w:rsidRPr="00777F75" w:rsidRDefault="006A38CF" w:rsidP="00777F75">
      <w:pPr>
        <w:spacing w:after="0"/>
        <w:jc w:val="both"/>
        <w:rPr>
          <w:rFonts w:asciiTheme="minorHAnsi" w:hAnsiTheme="minorHAnsi" w:cstheme="minorHAnsi"/>
        </w:rPr>
      </w:pPr>
    </w:p>
    <w:sectPr w:rsidR="006A38CF" w:rsidRPr="00777F75" w:rsidSect="0000585A">
      <w:headerReference w:type="even" r:id="rId7"/>
      <w:headerReference w:type="default" r:id="rId8"/>
      <w:headerReference w:type="first" r:id="rId9"/>
      <w:pgSz w:w="15840" w:h="12240" w:orient="landscape"/>
      <w:pgMar w:top="180" w:right="412" w:bottom="667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39539" w14:textId="77777777" w:rsidR="00F949C8" w:rsidRDefault="00F949C8">
      <w:pPr>
        <w:spacing w:after="0" w:line="240" w:lineRule="auto"/>
      </w:pPr>
      <w:r>
        <w:separator/>
      </w:r>
    </w:p>
  </w:endnote>
  <w:endnote w:type="continuationSeparator" w:id="0">
    <w:p w14:paraId="228BC887" w14:textId="77777777" w:rsidR="00F949C8" w:rsidRDefault="00F949C8">
      <w:pPr>
        <w:spacing w:after="0" w:line="240" w:lineRule="auto"/>
      </w:pPr>
      <w:r>
        <w:continuationSeparator/>
      </w:r>
    </w:p>
  </w:endnote>
  <w:endnote w:type="continuationNotice" w:id="1">
    <w:p w14:paraId="4560C88B" w14:textId="77777777" w:rsidR="006D1462" w:rsidRDefault="006D1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18B81" w14:textId="77777777" w:rsidR="00F949C8" w:rsidRDefault="00F949C8">
      <w:pPr>
        <w:spacing w:after="0" w:line="240" w:lineRule="auto"/>
      </w:pPr>
      <w:r>
        <w:separator/>
      </w:r>
    </w:p>
  </w:footnote>
  <w:footnote w:type="continuationSeparator" w:id="0">
    <w:p w14:paraId="7E1FAC64" w14:textId="77777777" w:rsidR="00F949C8" w:rsidRDefault="00F949C8">
      <w:pPr>
        <w:spacing w:after="0" w:line="240" w:lineRule="auto"/>
      </w:pPr>
      <w:r>
        <w:continuationSeparator/>
      </w:r>
    </w:p>
  </w:footnote>
  <w:footnote w:type="continuationNotice" w:id="1">
    <w:p w14:paraId="7C6F423B" w14:textId="77777777" w:rsidR="006D1462" w:rsidRDefault="006D1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pPr w:vertAnchor="page" w:horzAnchor="page" w:tblpX="15"/>
      <w:tblOverlap w:val="never"/>
      <w:tblW w:w="15822" w:type="dxa"/>
      <w:tblInd w:w="0" w:type="dxa"/>
      <w:tblCellMar>
        <w:left w:w="153" w:type="dxa"/>
        <w:right w:w="115" w:type="dxa"/>
      </w:tblCellMar>
      <w:tblLook w:val="04A0" w:firstRow="1" w:lastRow="0" w:firstColumn="1" w:lastColumn="0" w:noHBand="0" w:noVBand="1"/>
    </w:tblPr>
    <w:tblGrid>
      <w:gridCol w:w="15822"/>
    </w:tblGrid>
    <w:tr w:rsidR="006A38CF" w14:paraId="788E9C4F" w14:textId="77777777">
      <w:trPr>
        <w:trHeight w:val="1231"/>
      </w:trPr>
      <w:tc>
        <w:tcPr>
          <w:tcW w:w="15822" w:type="dxa"/>
          <w:tcBorders>
            <w:top w:val="nil"/>
            <w:left w:val="nil"/>
            <w:bottom w:val="nil"/>
            <w:right w:val="nil"/>
          </w:tcBorders>
          <w:shd w:val="clear" w:color="auto" w:fill="DBDBDB"/>
          <w:vAlign w:val="center"/>
        </w:tcPr>
        <w:p w14:paraId="28F07935" w14:textId="77777777" w:rsidR="006A38CF" w:rsidRDefault="00F949C8">
          <w:pPr>
            <w:tabs>
              <w:tab w:val="center" w:pos="838"/>
            </w:tabs>
            <w:spacing w:after="162"/>
          </w:pPr>
          <w:r>
            <w:rPr>
              <w:rFonts w:ascii="Segoe UI" w:eastAsia="Segoe UI" w:hAnsi="Segoe UI" w:cs="Segoe UI"/>
              <w:color w:val="3B3838"/>
              <w:sz w:val="8"/>
            </w:rPr>
            <w:t xml:space="preserve"> </w:t>
          </w:r>
          <w:r>
            <w:rPr>
              <w:noProof/>
            </w:rPr>
            <w:drawing>
              <wp:inline distT="0" distB="0" distL="0" distR="0" wp14:anchorId="1088EAF6" wp14:editId="6FAAA02D">
                <wp:extent cx="270739" cy="245110"/>
                <wp:effectExtent l="0" t="0" r="0" b="0"/>
                <wp:docPr id="17" name="Pictur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0" name="Picture 3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39" cy="245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Segoe UI" w:eastAsia="Segoe UI" w:hAnsi="Segoe UI" w:cs="Segoe UI"/>
              <w:color w:val="3B3838"/>
              <w:sz w:val="8"/>
            </w:rPr>
            <w:tab/>
          </w:r>
          <w:r>
            <w:rPr>
              <w:rFonts w:ascii="Segoe UI" w:eastAsia="Segoe UI" w:hAnsi="Segoe UI" w:cs="Segoe UI"/>
              <w:b/>
              <w:color w:val="3B3838"/>
              <w:sz w:val="28"/>
            </w:rPr>
            <w:t xml:space="preserve"> </w:t>
          </w:r>
          <w:r>
            <w:rPr>
              <w:rFonts w:ascii="Segoe UI" w:eastAsia="Segoe UI" w:hAnsi="Segoe UI" w:cs="Segoe UI"/>
              <w:b/>
              <w:color w:val="3B3838"/>
              <w:sz w:val="18"/>
            </w:rPr>
            <w:t xml:space="preserve">Microsoft </w:t>
          </w:r>
        </w:p>
        <w:p w14:paraId="2C66A32C" w14:textId="77777777" w:rsidR="006A38CF" w:rsidRDefault="00F949C8">
          <w:r>
            <w:rPr>
              <w:rFonts w:ascii="Segoe UI" w:eastAsia="Segoe UI" w:hAnsi="Segoe UI" w:cs="Segoe UI"/>
              <w:b/>
              <w:color w:val="3B3838"/>
              <w:sz w:val="28"/>
            </w:rPr>
            <w:t xml:space="preserve">  Comparing the options for licensing Microsoft’s software products </w:t>
          </w:r>
        </w:p>
      </w:tc>
    </w:tr>
  </w:tbl>
  <w:p w14:paraId="120F6DED" w14:textId="77777777" w:rsidR="006A38CF" w:rsidRDefault="00F949C8">
    <w:pPr>
      <w:spacing w:after="0"/>
    </w:pPr>
    <w:r>
      <w:rPr>
        <w:rFonts w:ascii="Segoe UI" w:eastAsia="Segoe UI" w:hAnsi="Segoe UI" w:cs="Segoe U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pPr w:vertAnchor="page" w:horzAnchor="page" w:tblpX="15"/>
      <w:tblOverlap w:val="never"/>
      <w:tblW w:w="15822" w:type="dxa"/>
      <w:tblInd w:w="0" w:type="dxa"/>
      <w:tblCellMar>
        <w:left w:w="153" w:type="dxa"/>
        <w:right w:w="115" w:type="dxa"/>
      </w:tblCellMar>
      <w:tblLook w:val="04A0" w:firstRow="1" w:lastRow="0" w:firstColumn="1" w:lastColumn="0" w:noHBand="0" w:noVBand="1"/>
    </w:tblPr>
    <w:tblGrid>
      <w:gridCol w:w="15822"/>
    </w:tblGrid>
    <w:tr w:rsidR="006A38CF" w14:paraId="586F9EE9" w14:textId="77777777" w:rsidTr="0000585A">
      <w:trPr>
        <w:trHeight w:val="450"/>
      </w:trPr>
      <w:tc>
        <w:tcPr>
          <w:tcW w:w="15822" w:type="dxa"/>
          <w:tcBorders>
            <w:top w:val="nil"/>
            <w:left w:val="nil"/>
            <w:bottom w:val="nil"/>
            <w:right w:val="nil"/>
          </w:tcBorders>
          <w:shd w:val="clear" w:color="auto" w:fill="DBDBDB"/>
          <w:vAlign w:val="center"/>
        </w:tcPr>
        <w:p w14:paraId="59F2F360" w14:textId="14400D25" w:rsidR="006A38CF" w:rsidRPr="00CF6547" w:rsidRDefault="0051342D" w:rsidP="00CB1338">
          <w:pPr>
            <w:jc w:val="center"/>
            <w:rPr>
              <w:rFonts w:asciiTheme="minorHAnsi" w:hAnsiTheme="minorHAnsi" w:cstheme="minorHAnsi"/>
              <w:color w:val="21498E"/>
              <w:sz w:val="28"/>
            </w:rPr>
          </w:pPr>
          <w:r w:rsidRPr="00CF6547">
            <w:rPr>
              <w:rFonts w:asciiTheme="minorHAnsi" w:eastAsia="Segoe UI" w:hAnsiTheme="minorHAnsi" w:cstheme="minorHAnsi"/>
              <w:b/>
              <w:noProof/>
              <w:color w:val="21498E"/>
              <w:sz w:val="28"/>
            </w:rPr>
            <w:drawing>
              <wp:anchor distT="0" distB="0" distL="114300" distR="114300" simplePos="0" relativeHeight="251658240" behindDoc="0" locked="0" layoutInCell="1" allowOverlap="1" wp14:anchorId="58649890" wp14:editId="51031B4B">
                <wp:simplePos x="0" y="0"/>
                <wp:positionH relativeFrom="column">
                  <wp:posOffset>284480</wp:posOffset>
                </wp:positionH>
                <wp:positionV relativeFrom="paragraph">
                  <wp:posOffset>-4445</wp:posOffset>
                </wp:positionV>
                <wp:extent cx="800100" cy="913130"/>
                <wp:effectExtent l="0" t="0" r="0" b="127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13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F6547">
            <w:rPr>
              <w:rFonts w:asciiTheme="minorHAnsi" w:eastAsia="Segoe UI" w:hAnsiTheme="minorHAnsi" w:cstheme="minorHAnsi"/>
              <w:b/>
              <w:color w:val="21498E"/>
              <w:sz w:val="28"/>
            </w:rPr>
            <w:t>Y</w:t>
          </w:r>
          <w:r w:rsidR="00B76AD0" w:rsidRPr="00CF6547">
            <w:rPr>
              <w:rFonts w:asciiTheme="minorHAnsi" w:eastAsia="Segoe UI" w:hAnsiTheme="minorHAnsi" w:cstheme="minorHAnsi"/>
              <w:b/>
              <w:color w:val="21498E"/>
              <w:sz w:val="28"/>
            </w:rPr>
            <w:t xml:space="preserve">our </w:t>
          </w:r>
          <w:r w:rsidR="00F949C8" w:rsidRPr="00CF6547">
            <w:rPr>
              <w:rFonts w:asciiTheme="minorHAnsi" w:eastAsia="Segoe UI" w:hAnsiTheme="minorHAnsi" w:cstheme="minorHAnsi"/>
              <w:b/>
              <w:color w:val="21498E"/>
              <w:sz w:val="28"/>
            </w:rPr>
            <w:t>options for licensing Microsoft’s software products</w:t>
          </w:r>
        </w:p>
      </w:tc>
    </w:tr>
  </w:tbl>
  <w:p w14:paraId="4D304635" w14:textId="32FAEE0A" w:rsidR="006A38CF" w:rsidRDefault="006A38CF" w:rsidP="0000585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pPr w:vertAnchor="page" w:horzAnchor="page" w:tblpX="15"/>
      <w:tblOverlap w:val="never"/>
      <w:tblW w:w="15822" w:type="dxa"/>
      <w:tblInd w:w="0" w:type="dxa"/>
      <w:tblCellMar>
        <w:left w:w="153" w:type="dxa"/>
        <w:right w:w="115" w:type="dxa"/>
      </w:tblCellMar>
      <w:tblLook w:val="04A0" w:firstRow="1" w:lastRow="0" w:firstColumn="1" w:lastColumn="0" w:noHBand="0" w:noVBand="1"/>
    </w:tblPr>
    <w:tblGrid>
      <w:gridCol w:w="15822"/>
    </w:tblGrid>
    <w:tr w:rsidR="006A38CF" w14:paraId="47B62876" w14:textId="77777777">
      <w:trPr>
        <w:trHeight w:val="1231"/>
      </w:trPr>
      <w:tc>
        <w:tcPr>
          <w:tcW w:w="15822" w:type="dxa"/>
          <w:tcBorders>
            <w:top w:val="nil"/>
            <w:left w:val="nil"/>
            <w:bottom w:val="nil"/>
            <w:right w:val="nil"/>
          </w:tcBorders>
          <w:shd w:val="clear" w:color="auto" w:fill="DBDBDB"/>
          <w:vAlign w:val="center"/>
        </w:tcPr>
        <w:p w14:paraId="004C7FC8" w14:textId="77777777" w:rsidR="006A38CF" w:rsidRDefault="00F949C8">
          <w:pPr>
            <w:tabs>
              <w:tab w:val="center" w:pos="838"/>
            </w:tabs>
            <w:spacing w:after="162"/>
          </w:pPr>
          <w:r>
            <w:rPr>
              <w:rFonts w:ascii="Segoe UI" w:eastAsia="Segoe UI" w:hAnsi="Segoe UI" w:cs="Segoe UI"/>
              <w:color w:val="3B3838"/>
              <w:sz w:val="8"/>
            </w:rPr>
            <w:t xml:space="preserve"> </w:t>
          </w:r>
          <w:r>
            <w:rPr>
              <w:noProof/>
            </w:rPr>
            <w:drawing>
              <wp:inline distT="0" distB="0" distL="0" distR="0" wp14:anchorId="3A529DFD" wp14:editId="0E83B899">
                <wp:extent cx="270739" cy="245110"/>
                <wp:effectExtent l="0" t="0" r="0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0" name="Picture 3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39" cy="245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Segoe UI" w:eastAsia="Segoe UI" w:hAnsi="Segoe UI" w:cs="Segoe UI"/>
              <w:color w:val="3B3838"/>
              <w:sz w:val="8"/>
            </w:rPr>
            <w:tab/>
          </w:r>
          <w:r>
            <w:rPr>
              <w:rFonts w:ascii="Segoe UI" w:eastAsia="Segoe UI" w:hAnsi="Segoe UI" w:cs="Segoe UI"/>
              <w:b/>
              <w:color w:val="3B3838"/>
              <w:sz w:val="28"/>
            </w:rPr>
            <w:t xml:space="preserve"> </w:t>
          </w:r>
          <w:r>
            <w:rPr>
              <w:rFonts w:ascii="Segoe UI" w:eastAsia="Segoe UI" w:hAnsi="Segoe UI" w:cs="Segoe UI"/>
              <w:b/>
              <w:color w:val="3B3838"/>
              <w:sz w:val="18"/>
            </w:rPr>
            <w:t xml:space="preserve">Microsoft </w:t>
          </w:r>
        </w:p>
        <w:p w14:paraId="11CEDB0C" w14:textId="77777777" w:rsidR="006A38CF" w:rsidRDefault="00F949C8">
          <w:r>
            <w:rPr>
              <w:rFonts w:ascii="Segoe UI" w:eastAsia="Segoe UI" w:hAnsi="Segoe UI" w:cs="Segoe UI"/>
              <w:b/>
              <w:color w:val="3B3838"/>
              <w:sz w:val="28"/>
            </w:rPr>
            <w:t xml:space="preserve">  Comparing the options for licensing Microsoft’s software products </w:t>
          </w:r>
        </w:p>
      </w:tc>
    </w:tr>
  </w:tbl>
  <w:p w14:paraId="323B1B8E" w14:textId="77777777" w:rsidR="006A38CF" w:rsidRDefault="00F949C8">
    <w:pPr>
      <w:spacing w:after="0"/>
    </w:pPr>
    <w:r>
      <w:rPr>
        <w:rFonts w:ascii="Segoe UI" w:eastAsia="Segoe UI" w:hAnsi="Segoe UI" w:cs="Segoe U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CF"/>
    <w:rsid w:val="0000585A"/>
    <w:rsid w:val="00184DD3"/>
    <w:rsid w:val="001F0394"/>
    <w:rsid w:val="002A6CED"/>
    <w:rsid w:val="00313E06"/>
    <w:rsid w:val="003259A3"/>
    <w:rsid w:val="003A69E1"/>
    <w:rsid w:val="003C28B8"/>
    <w:rsid w:val="00464B49"/>
    <w:rsid w:val="00486E93"/>
    <w:rsid w:val="0051342D"/>
    <w:rsid w:val="00552AF9"/>
    <w:rsid w:val="005768A4"/>
    <w:rsid w:val="005B501D"/>
    <w:rsid w:val="006055DB"/>
    <w:rsid w:val="00613115"/>
    <w:rsid w:val="00645918"/>
    <w:rsid w:val="00664466"/>
    <w:rsid w:val="00690CA0"/>
    <w:rsid w:val="006A38CF"/>
    <w:rsid w:val="006B3D66"/>
    <w:rsid w:val="006D1462"/>
    <w:rsid w:val="006F1853"/>
    <w:rsid w:val="0070003F"/>
    <w:rsid w:val="007540DA"/>
    <w:rsid w:val="00777F75"/>
    <w:rsid w:val="007C44E8"/>
    <w:rsid w:val="00850C84"/>
    <w:rsid w:val="009015EF"/>
    <w:rsid w:val="00992DD1"/>
    <w:rsid w:val="00A123A4"/>
    <w:rsid w:val="00A768F2"/>
    <w:rsid w:val="00AB4CAE"/>
    <w:rsid w:val="00B177A5"/>
    <w:rsid w:val="00B61889"/>
    <w:rsid w:val="00B76AD0"/>
    <w:rsid w:val="00B83C40"/>
    <w:rsid w:val="00BE138B"/>
    <w:rsid w:val="00C87987"/>
    <w:rsid w:val="00CB1338"/>
    <w:rsid w:val="00CF6547"/>
    <w:rsid w:val="00D95D61"/>
    <w:rsid w:val="00E16676"/>
    <w:rsid w:val="00E269AC"/>
    <w:rsid w:val="00EB2CF0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A42291"/>
  <w15:docId w15:val="{A8DEDFBB-DD2A-4C48-82AC-45C3456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7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A5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6D1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462"/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6055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Van Ooijen</dc:creator>
  <cp:keywords/>
  <cp:lastModifiedBy>Marcy Van Ooijen</cp:lastModifiedBy>
  <cp:revision>2</cp:revision>
  <dcterms:created xsi:type="dcterms:W3CDTF">2020-12-18T15:22:00Z</dcterms:created>
  <dcterms:modified xsi:type="dcterms:W3CDTF">2020-12-18T15:22:00Z</dcterms:modified>
</cp:coreProperties>
</file>